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田洁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5"/>
        <w:gridCol w:w="975"/>
        <w:gridCol w:w="5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田洁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 w:cs="Times New Roman"/>
                <w:spacing w:val="-11"/>
                <w:sz w:val="33"/>
                <w:szCs w:val="33"/>
                <w:lang w:val="en-US" w:eastAsia="zh-CN"/>
              </w:rPr>
              <w:t>集团纪委副书记、第一纪检监察室主任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660" w:firstLineChars="200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推动政治监督</w:t>
            </w:r>
            <w:r>
              <w:rPr>
                <w:rFonts w:hint="eastAsia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协助集团纪委压紧压实政治监督责任，配合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  <w:t>开展述责述廉、通报约谈、检查考核等工作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持续开展中央环保督察整改监督，督促整改问题4项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持续推进巡视巡察整改跟踪监督，优先办理巡视巡察交办问题线索20余个。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660" w:firstLineChars="200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“风腐”同查纠治“四风”</w:t>
            </w:r>
            <w:r>
              <w:rPr>
                <w:rFonts w:hint="eastAsia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聚焦公款旅游、违规发放和收送、违规吃喝、不作为慢作为乱作为等问题开展专项整治。精准提出纪检监察建议，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“后半篇”文章。与区县纪委监委联合审查调查，对1人采取留置措施，对8人立案审查调查。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660" w:firstLineChars="200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问题线索减存量遏增量</w:t>
            </w:r>
            <w:r>
              <w:rPr>
                <w:rFonts w:hint="eastAsia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加大问题线索和案件核查力度，办结问题线索160件，立案36件44人。对中巡组巡视重庆期间交办问题线索集中攻坚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对所属企业纪委开展业务指导，全级次督促问题线索销存量遏增量，效果明显。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660" w:firstLineChars="200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“三化建设”要求，强化自身建设</w:t>
            </w:r>
            <w:r>
              <w:rPr>
                <w:rFonts w:hint="eastAsia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加强对新修订监察法、党纪处分条例学习，提升纪法素养和实战技能。严格执行各项纪律规矩要求，加强监督执纪执法标准化建设，安全文明办案。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20E1040"/>
    <w:rsid w:val="0319640B"/>
    <w:rsid w:val="035B42E1"/>
    <w:rsid w:val="03CC7632"/>
    <w:rsid w:val="04B51180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6BE0887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5730</Words>
  <Characters>638</Characters>
  <Lines>5</Lines>
  <Paragraphs>12</Paragraphs>
  <TotalTime>2</TotalTime>
  <ScaleCrop>false</ScaleCrop>
  <LinksUpToDate>false</LinksUpToDate>
  <CharactersWithSpaces>6356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2026-02-27T09:34:39Z</cp:lastPrinted>
  <dcterms:modified xsi:type="dcterms:W3CDTF">2026-02-27T09:34:41Z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