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曹婧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39"/>
        <w:gridCol w:w="1339"/>
        <w:gridCol w:w="4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曹婧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集团法务审计部部长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全面重塑治理体系。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立足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两水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整合改革实际，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梳理原水投、原水环239项制度，推动完成161项制度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立改废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计划，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60"/>
                <w:sz w:val="32"/>
                <w:szCs w:val="32"/>
                <w:u w:val="none"/>
                <w:lang w:val="en-US" w:eastAsia="zh-CN"/>
              </w:rPr>
              <w:t>获市国资委《国资周情》专题刊载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60"/>
                <w:sz w:val="32"/>
                <w:szCs w:val="3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夯实合规管理根基。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带头严把合规审查关口，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全年审核合同、制度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1300余项，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出具法律审查意见100余份，合规体系建设成效获市国资委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满分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推进重大风险化解。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牵头处置化解重大风险，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完成东溪河等3项重大经营风险处置销号，认定重大风险事件金额压降18.23亿元，超额完成年度考核目标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案件攻坚取得实效。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牵头统筹案件处置工作，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推动案件结案220宗，完成案件处置债权回收5304万元，超额完成市国资委年度回收目标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75%。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强化遗留问题整改。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梳理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两水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整合后监督遗留问题，制定整改工作方案，完成4项重大遗留事项销号处置，推动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八张问题清单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等外部监督问题整改47项</w:t>
            </w:r>
            <w:r>
              <w:rPr>
                <w:rFonts w:hint="eastAsia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textAlignment w:val="auto"/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改革攻坚跑出</w:t>
            </w:r>
            <w:r>
              <w:rPr>
                <w:rFonts w:hint="eastAsia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方正黑体_GBK" w:hAnsi="方正黑体_GBK" w:eastAsia="方正黑体_GBK" w:cs="方正黑体_GBK"/>
                <w:kern w:val="60"/>
                <w:sz w:val="32"/>
                <w:szCs w:val="32"/>
                <w:lang w:val="en-US" w:eastAsia="zh-CN"/>
              </w:rPr>
              <w:t>加速度”</w:t>
            </w:r>
            <w:r>
              <w:rPr>
                <w:rFonts w:hint="default" w:ascii="Times New Roman" w:hAnsi="Times New Roman" w:eastAsia="方正仿宋_GBK" w:cs="Times New Roman"/>
                <w:kern w:val="60"/>
                <w:sz w:val="32"/>
                <w:szCs w:val="32"/>
                <w:lang w:val="en-US" w:eastAsia="zh-CN"/>
              </w:rPr>
              <w:t>。大力推进创绿环保系统化改革，完成其下属公司司法清算，挽损逾千万元。在农商行不予支持的情况下，仅用10日完成司法受理及管理权移交。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9A41498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9F45063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C7B3309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464</Words>
  <Characters>487</Characters>
  <Lines>5</Lines>
  <Paragraphs>12</Paragraphs>
  <TotalTime>24</TotalTime>
  <ScaleCrop>false</ScaleCrop>
  <LinksUpToDate>false</LinksUpToDate>
  <CharactersWithSpaces>487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2026-02-27T09:26:08Z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eyJoZGlkIjoiYWIwMmFmY2UzNTM4Nzg0YjJiMDY0YTBjMmJlYTg0MDYiLCJ1c2VySWQiOiIxMDA2MDI3ODk1In0=</vt:lpwstr>
  </property>
  <property fmtid="{D5CDD505-2E9C-101B-9397-08002B2CF9AE}" pid="4" name="ICV">
    <vt:lpwstr>A24CEEEE65C6419E94C5E1C823435340_12</vt:lpwstr>
  </property>
</Properties>
</file>