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赵锐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9"/>
        <w:gridCol w:w="1279"/>
        <w:gridCol w:w="4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赵锐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集团财务管理部总经理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债务风险防控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工作。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落实“631”机制，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完成近200亿元债务接续置换，维持“AAA”信用评级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实现债务零违约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完成双源公司等8户市级平台子企业7.24亿元区县隐债清零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退平台工作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化解隐债风险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投融资机制创新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工作。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专项债双审获批49亿元、发行35亿元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统筹集团金融资源形成1400亿元授信，和银行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“总对总”战略合作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财务成本压降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工作。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全面清零高息债务，年度债务综合融资成本下降40BP，利息费用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同比下降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2亿元。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firstLine="560"/>
              <w:jc w:val="left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财务数智化转型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工作。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完成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新水环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科目体系重建，实现共享试点流程上线；司库系统顺利投用，司库建设在市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国资委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初验排第二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财务基础工作。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2024年财务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决算、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月报工作获市财政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通报表扬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部门获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得2025年“水环年度先进集体提名奖”，考核评价为“好”。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DE31089"/>
    <w:rsid w:val="0ED17C0C"/>
    <w:rsid w:val="10CE5DF5"/>
    <w:rsid w:val="11ED37C7"/>
    <w:rsid w:val="123266B9"/>
    <w:rsid w:val="12E14BE7"/>
    <w:rsid w:val="13241085"/>
    <w:rsid w:val="14044125"/>
    <w:rsid w:val="14D9184C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4EA12A55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166</Characters>
  <Lines>5</Lines>
  <Paragraphs>12</Paragraphs>
  <TotalTime>5</TotalTime>
  <ScaleCrop>false</ScaleCrop>
  <LinksUpToDate>false</LinksUpToDate>
  <CharactersWithSpaces>168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2026-02-27T04:32:33Z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eyJoZGlkIjoiMmU2YjgxNmU1Nzg1NWQzZGYwN2IxODdhYzg1YzIwZjIiLCJ1c2VySWQiOiIxNTczMTUzNzk1In0=</vt:lpwstr>
  </property>
  <property fmtid="{D5CDD505-2E9C-101B-9397-08002B2CF9AE}" pid="4" name="ICV">
    <vt:lpwstr>8D29A1E4F4D142689ACA584A744763EB_13</vt:lpwstr>
  </property>
</Properties>
</file>